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Приказ от 31 декабря 2017 г. N 2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 внесении изменений в Учетную политику ООО «Радость»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целей налогообложения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связи с изменениями, внесенными в Налоговый кодекс РФ в соответствии с Федеральным законом от 28.12.2013 N 420-ФЗ, Федеральным законом от 20.04.2014 N 81-ФЗ, Федеральным законом от 24.11.2014 N 366-ФЗ, Федеральным законом от 24.11.2014 N 368-ФЗ,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 р и к а з ы в а ю: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Внести в редакцию Положения об учетной политике для целей налогообложения, утвержденную Приказом от 28.12.2017 N 1, изменения согласно Приложению N 1 к настоящему Приказу.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Изменения, внесенные в редакцию Положения об учетной политике для целей налогообложения настоящим Приказом, применяются с 1 января 2018 г.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Ознакомить с настоящим Приказом всех сотрудников организации, имеющих отношение к учетному процессу.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Контроль за исполнением настоящего Приказа возложить на главного бухгалтера ООО «Радость».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Директор ООО «Радость» ---------- И.И. Иванов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