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spacing w:line="276" w:lineRule="auto"/>
        <w:ind w:firstLine="34"/>
        <w:contextualSpacing w:val="0"/>
        <w:jc w:val="right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В </w:t>
      </w:r>
      <w:r w:rsidDel="00000000" w:rsidR="00000000" w:rsidRPr="00000000">
        <w:rPr>
          <w:sz w:val="22"/>
          <w:szCs w:val="22"/>
          <w:rtl w:val="0"/>
        </w:rPr>
        <w:t xml:space="preserve">пятый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арбитражный апелляционный суд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191</w:t>
      </w:r>
      <w:r w:rsidDel="00000000" w:rsidR="00000000" w:rsidRPr="00000000">
        <w:rPr>
          <w:sz w:val="22"/>
          <w:szCs w:val="22"/>
          <w:rtl w:val="0"/>
        </w:rPr>
        <w:t xml:space="preserve">000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Санкт-Петербург, </w:t>
      </w:r>
      <w:r w:rsidDel="00000000" w:rsidR="00000000" w:rsidRPr="00000000">
        <w:rPr>
          <w:sz w:val="22"/>
          <w:szCs w:val="22"/>
          <w:rtl w:val="0"/>
        </w:rPr>
        <w:t xml:space="preserve">ул. Петровская, 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line="276" w:lineRule="auto"/>
        <w:ind w:firstLine="34"/>
        <w:contextualSpacing w:val="0"/>
        <w:jc w:val="right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через арбитражный суд Санкт-Петербурга 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line="276" w:lineRule="auto"/>
        <w:ind w:firstLine="34"/>
        <w:contextualSpacing w:val="0"/>
        <w:jc w:val="right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Ленинградской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34"/>
        <w:contextualSpacing w:val="0"/>
        <w:jc w:val="right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1910</w:t>
      </w:r>
      <w:r w:rsidDel="00000000" w:rsidR="00000000" w:rsidRPr="00000000">
        <w:rPr>
          <w:sz w:val="22"/>
          <w:szCs w:val="22"/>
          <w:rtl w:val="0"/>
        </w:rPr>
        <w:t xml:space="preserve">00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Санкт-Петербург, </w:t>
      </w:r>
      <w:r w:rsidDel="00000000" w:rsidR="00000000" w:rsidRPr="00000000">
        <w:rPr>
          <w:sz w:val="22"/>
          <w:szCs w:val="22"/>
          <w:rtl w:val="0"/>
        </w:rPr>
        <w:t xml:space="preserve">Ивановская ул., д.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ООО “</w:t>
      </w:r>
      <w:r w:rsidDel="00000000" w:rsidR="00000000" w:rsidRPr="00000000">
        <w:rPr>
          <w:rtl w:val="0"/>
        </w:rPr>
        <w:t xml:space="preserve">Один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Адрес: </w:t>
      </w:r>
      <w:r w:rsidDel="00000000" w:rsidR="00000000" w:rsidRPr="00000000">
        <w:rPr>
          <w:sz w:val="22"/>
          <w:szCs w:val="22"/>
          <w:rtl w:val="0"/>
        </w:rPr>
        <w:t xml:space="preserve">191000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г. Санкт-Петербург,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ул. </w:t>
      </w:r>
      <w:r w:rsidDel="00000000" w:rsidR="00000000" w:rsidRPr="00000000">
        <w:rPr>
          <w:rtl w:val="0"/>
        </w:rPr>
        <w:t xml:space="preserve">Сидоровская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53.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ООО “</w:t>
      </w:r>
      <w:r w:rsidDel="00000000" w:rsidR="00000000" w:rsidRPr="00000000">
        <w:rPr>
          <w:rtl w:val="0"/>
        </w:rPr>
        <w:t xml:space="preserve">Два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191000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г. Санкт-Петербург,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ул. </w:t>
      </w:r>
      <w:r w:rsidDel="00000000" w:rsidR="00000000" w:rsidRPr="00000000">
        <w:rPr>
          <w:rtl w:val="0"/>
        </w:rPr>
        <w:t xml:space="preserve">Кузнецовская, д. 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Цена (стоимость) иска: </w:t>
      </w:r>
      <w:r w:rsidDel="00000000" w:rsidR="00000000" w:rsidRPr="00000000">
        <w:rPr>
          <w:rtl w:val="0"/>
        </w:rPr>
        <w:t xml:space="preserve">11 111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руб. </w:t>
      </w:r>
      <w:r w:rsidDel="00000000" w:rsidR="00000000" w:rsidRPr="00000000">
        <w:rPr>
          <w:rtl w:val="0"/>
        </w:rPr>
        <w:t xml:space="preserve">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копеек.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Сумма госпошлины: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000 руб. 00 копеек. </w:t>
      </w:r>
    </w:p>
    <w:p w:rsidR="00000000" w:rsidDel="00000000" w:rsidP="00000000" w:rsidRDefault="00000000" w:rsidRPr="00000000">
      <w:pPr>
        <w:pStyle w:val="Heading1"/>
        <w:contextualSpacing w:val="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Апелляционная жалоба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На решение арбитражного суда Санкт-Петербурга и Ленинградской области от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11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.11.2017 по делу № А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11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-22222/2017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</w:t>
      </w:r>
      <w:r w:rsidDel="00000000" w:rsidR="00000000" w:rsidRPr="00000000">
        <w:rPr>
          <w:rtl w:val="0"/>
        </w:rPr>
        <w:t xml:space="preserve">Один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обратилось в суд к ООО «</w:t>
      </w:r>
      <w:r w:rsidDel="00000000" w:rsidR="00000000" w:rsidRPr="00000000">
        <w:rPr>
          <w:rtl w:val="0"/>
        </w:rPr>
        <w:t xml:space="preserve">Два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с иском о взыскании задолженности за поставленный товар в сумме </w:t>
      </w:r>
      <w:r w:rsidDel="00000000" w:rsidR="00000000" w:rsidRPr="00000000">
        <w:rPr>
          <w:rtl w:val="0"/>
        </w:rPr>
        <w:t xml:space="preserve">22 222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руб.</w:t>
      </w:r>
      <w:r w:rsidDel="00000000" w:rsidR="00000000" w:rsidRPr="00000000">
        <w:rPr>
          <w:rtl w:val="0"/>
        </w:rPr>
        <w:t xml:space="preserve"> 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копеек.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Решением арбитражного суда Санкт- Петербурга и Ленинградской области от 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.11.2017 по делу № А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-22222/2017 с ООО «</w:t>
      </w:r>
      <w:r w:rsidDel="00000000" w:rsidR="00000000" w:rsidRPr="00000000">
        <w:rPr>
          <w:rtl w:val="0"/>
        </w:rPr>
        <w:t xml:space="preserve">Два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в пользу ООО «</w:t>
      </w:r>
      <w:r w:rsidDel="00000000" w:rsidR="00000000" w:rsidRPr="00000000">
        <w:rPr>
          <w:rtl w:val="0"/>
        </w:rPr>
        <w:t xml:space="preserve">Один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взыскано </w:t>
      </w:r>
      <w:r w:rsidDel="00000000" w:rsidR="00000000" w:rsidRPr="00000000">
        <w:rPr>
          <w:rtl w:val="0"/>
        </w:rPr>
        <w:t xml:space="preserve">333333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руб.36 копеек задолженности и </w:t>
      </w:r>
      <w:r w:rsidDel="00000000" w:rsidR="00000000" w:rsidRPr="00000000">
        <w:rPr>
          <w:rtl w:val="0"/>
        </w:rPr>
        <w:t xml:space="preserve">3333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руб. 26 копеек. неустойки, всего </w:t>
      </w:r>
      <w:r w:rsidDel="00000000" w:rsidR="00000000" w:rsidRPr="00000000">
        <w:rPr>
          <w:rtl w:val="0"/>
        </w:rPr>
        <w:t xml:space="preserve">336666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руб. 62 копейки, а также 2632 руб. 83 копейки в возмещение расходов по уплате госпошлины.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</w:t>
      </w:r>
      <w:r w:rsidDel="00000000" w:rsidR="00000000" w:rsidRPr="00000000">
        <w:rPr>
          <w:rtl w:val="0"/>
        </w:rPr>
        <w:t xml:space="preserve">Один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не согласно с вынесенным решением, считает его незаконным, поскольку судом первой инстанции неполно исследованы доказательства по делу, выводы суда не соответствуют обстоятельствам дела и неправильно применены нормы материального (и процессуального) права.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заключении договора поставки в п.6 стороны предусмотрели аккредитивную форму расчета. Это предполагает, что поставщик выполняет свои обязательства по договору поставки после того, как покупатель откроет аккредитив. Но поставщик ООО «</w:t>
      </w:r>
      <w:r w:rsidDel="00000000" w:rsidR="00000000" w:rsidRPr="00000000">
        <w:rPr>
          <w:rtl w:val="0"/>
        </w:rPr>
        <w:t xml:space="preserve">Один»,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дождавшись открытия аккредитива, осуществил поставку товара ООО «</w:t>
      </w:r>
      <w:r w:rsidDel="00000000" w:rsidR="00000000" w:rsidRPr="00000000">
        <w:rPr>
          <w:rtl w:val="0"/>
        </w:rPr>
        <w:t xml:space="preserve">Два»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 связи с чем нарушил предусмотренный договором порядок поставки на основании ст. 509 и 516 ГК РФ. Но суд не учел данное обстоятельство при вынесении решения по рассматриваемому делу. И вынес решение в пользу истца ссылаясь на ст. 309, 330, 516 ГК РФ, взыскал с ООО «</w:t>
      </w:r>
      <w:r w:rsidDel="00000000" w:rsidR="00000000" w:rsidRPr="00000000">
        <w:rPr>
          <w:rtl w:val="0"/>
        </w:rPr>
        <w:t xml:space="preserve">Два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tl w:val="0"/>
        </w:rPr>
        <w:t xml:space="preserve">44444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руб.36 копеек задолженности и </w:t>
      </w:r>
      <w:r w:rsidDel="00000000" w:rsidR="00000000" w:rsidRPr="00000000">
        <w:rPr>
          <w:rtl w:val="0"/>
        </w:rPr>
        <w:t xml:space="preserve">5555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руб. 26 копеек. неустойки.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этим решением ООО «</w:t>
      </w:r>
      <w:r w:rsidDel="00000000" w:rsidR="00000000" w:rsidRPr="00000000">
        <w:rPr>
          <w:rtl w:val="0"/>
        </w:rPr>
        <w:t xml:space="preserve">Два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не согласен, так как считает, что он основан на неправильном применении норм гражданского законодательства. Таким образом, решение суда о взыскании задолженности, неустойки, а также суммы в возмещение расходов по уплате госпошлины, итого общей суммы в </w:t>
      </w:r>
      <w:r w:rsidDel="00000000" w:rsidR="00000000" w:rsidRPr="00000000">
        <w:rPr>
          <w:rtl w:val="0"/>
        </w:rPr>
        <w:t xml:space="preserve">666666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руб. 46 копеек является ошибочным.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Учитывая изложенное, и руководствуясь, ст. ст. 257, 260, 269-270 АПК РФ,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П Р О Ш 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Отменить решение Арбитражного суда Санкт- Петербурга и Ленинградской области от 11.11.2017 по делу № А11-22222/2017 и отказать ООО "Один" в удовлетворении исковых требований полностью.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Приложение: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прилагаемых документов согласно ч. 4 ст. 260 АПК. Документы прилагаются в следующем порядке: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280" w:lineRule="auto"/>
        <w:ind w:left="720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копия оспариваемого решения;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документ, подтверждающий уплату госпошлины;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документ, подтверждающий отправку копии апелляционной жалобы другим лицам;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копию доверенности на право подписание апелляционной жалобы, если жалобу подписывает представитель заявителя;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ходатайства, если они имеются;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Rule="auto"/>
        <w:ind w:left="720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остальные документы, имеющие отношение к делу;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Должность (если подписывает апелляционную жалобу представитель, указывается "Представитель по доверенности N ________ от "_____"), подпись, фамилия, инициалы.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«____»______________2017 г. _____________________ </w:t>
      </w:r>
      <w:r w:rsidDel="00000000" w:rsidR="00000000" w:rsidRPr="00000000">
        <w:rPr>
          <w:rtl w:val="0"/>
        </w:rPr>
        <w:t xml:space="preserve">Кулешов К.К.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Rule="auto"/>
    </w:pPr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