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t>ПЕРЕЧЕНЬ</w:t>
      </w:r>
    </w:p>
    <w:p>
      <w:pPr>
        <w:pStyle w:val="6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t>КОДОВ ВИДОВ ОПЕРАЦИЙ, УКАЗЫВАЕМЫХ В КНИГЕ ПОКУПОК,</w:t>
      </w:r>
      <w:bookmarkStart w:id="9" w:name="_GoBack"/>
      <w:bookmarkEnd w:id="9"/>
    </w:p>
    <w:p>
      <w:pPr>
        <w:pStyle w:val="6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t>ПРИМЕНЯЕМОЙ ПРИ РАСЧЕТАХ ПО НАЛОГУ НА ДОБАВЛЕННУЮ</w:t>
      </w:r>
    </w:p>
    <w:p>
      <w:pPr>
        <w:pStyle w:val="6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t>СТОИМОСТЬ, ДОПОЛНИТЕЛЬНОМ ЛИСТЕ К НЕЙ, КНИГЕ ПРОДАЖ,</w:t>
      </w:r>
    </w:p>
    <w:p>
      <w:pPr>
        <w:pStyle w:val="6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t>ПРИМЕНЯЕМОЙ ПРИ РАСЧЕТАХ ПО НАЛОГУ НА ДОБАВЛЕННУЮ</w:t>
      </w:r>
    </w:p>
    <w:p>
      <w:pPr>
        <w:pStyle w:val="6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t>СТОИМОСТЬ, ДОПОЛНИТЕЛЬНОМ ЛИСТЕ К НЕЙ, А ТАКЖЕ КОДЫ</w:t>
      </w:r>
    </w:p>
    <w:p>
      <w:pPr>
        <w:pStyle w:val="6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t>ВИДОВ ОПЕРАЦИЙ ПО НАЛОГУ НА ДОБАВЛЕННУЮ СТОИМОСТЬ,</w:t>
      </w:r>
    </w:p>
    <w:p>
      <w:pPr>
        <w:pStyle w:val="6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t>НЕОБХОДИМЫЕ ДЛЯ ВЕДЕНИЯ ЖУРНАЛА УЧЕТА ПОЛУЧЕННЫХ</w:t>
      </w:r>
    </w:p>
    <w:p>
      <w:pPr>
        <w:pStyle w:val="6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  <w:t>И ВЫСТАВЛЕННЫХ СЧЕТОВ-ФАКТУР</w:t>
      </w:r>
    </w:p>
    <w:p>
      <w:pPr>
        <w:pStyle w:val="4"/>
        <w:ind w:firstLine="54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5" w:h="16838"/>
          <w:pgMar w:top="1440" w:right="1800" w:bottom="1440" w:left="1800" w:header="0" w:footer="0" w:gutter="0"/>
          <w:cols w:space="720" w:num="1"/>
          <w:docGrid w:linePitch="360" w:charSpace="0"/>
        </w:sectPr>
      </w:pPr>
    </w:p>
    <w:tbl>
      <w:tblPr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7"/>
        <w:gridCol w:w="6759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27" w:type="dxa"/>
          </w:tcPr>
          <w:p>
            <w:pPr>
              <w:pStyle w:val="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N п/п</w:t>
            </w:r>
          </w:p>
        </w:tc>
        <w:tc>
          <w:tcPr>
            <w:tcW w:w="6759" w:type="dxa"/>
          </w:tcPr>
          <w:p>
            <w:pPr>
              <w:pStyle w:val="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Наименование вида операции</w:t>
            </w:r>
          </w:p>
        </w:tc>
        <w:tc>
          <w:tcPr>
            <w:tcW w:w="1044" w:type="dxa"/>
          </w:tcPr>
          <w:p>
            <w:pPr>
              <w:pStyle w:val="4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Код вида операции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Отгрузка (передача) или приобретение товаров (работ, услуг), имущественных прав, включая операции, перечисленные в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подпунктах 2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и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 пункта 1 статьи 146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162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, в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пунктах 3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5.1 статьи 154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, в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подпункте 1 пункта 3 статьи 170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 (Собрание законодательства Российской Федерации, 2000, N 32, ст. 3340; 2016, N 14, ст. 1902), операции, облагаемые по налоговой ставке 0 процентов, операции, осуществляемые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 или на основе договоров транспортной экспедиции, операции по возврату налогоплательщиком-покупателем товаров продавцу или получение продавцом от указанного лица товаров, за исключением операций, перечисленных по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кодам 06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; составление или получение единого корректировочного счета-фактуры</w:t>
            </w:r>
          </w:p>
        </w:tc>
        <w:tc>
          <w:tcPr>
            <w:tcW w:w="1044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Оплата, частичная оплата (полученная или переданная) в счет предстоящих поставок товаров (работ, услуг), имущественных прав, включая операции, осуществляемые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 или на основе договоров транспортной экспедиции, за исключением операций, перечисленных по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кодам 06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;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44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Операции, совершаемые налоговыми агентами, перечисленными в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статье 161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 (Собрание законодательства Российской Федерации, 2000, N 32, ст. 3340; 2016, N 14, ст. 1902), в том числе операции по приобретению товаров (работ, услуг), имущественных прав на основе договоров поручения, комиссии, агентских договоров, заключенных налоговыми агентами с налогоплательщиком, за исключением операций, указанных в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пунктах 4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и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данной статьи Налогового кодекса Российской Федерации</w:t>
            </w:r>
          </w:p>
        </w:tc>
        <w:tc>
          <w:tcPr>
            <w:tcW w:w="1044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P63"/>
            <w:bookmarkEnd w:id="0"/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Отгрузка (передача) товаров (выполнение работ, оказание услуг), имущественных прав на безвозмездной основе</w:t>
            </w:r>
          </w:p>
        </w:tc>
        <w:tc>
          <w:tcPr>
            <w:tcW w:w="1044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1" w:name="P66"/>
            <w:bookmarkEnd w:id="1"/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Выполнение подрядными организациями (застройщиками, заказчиками, выполняющими функции застройщика, техническими заказчиками) работ при осуществлении капитального строительства, модернизации (реконструкции) объектов недвижимости или приобретение этих работ налогоплательщиками-инвесторами; передача указанными лицами (приобретение) объектов завершенного (незавершенного) капитального строительства, оборудования, материалов в рамках исполнения договоров по капитальному строительству (модернизации, реконструкции)</w:t>
            </w:r>
          </w:p>
        </w:tc>
        <w:tc>
          <w:tcPr>
            <w:tcW w:w="1044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2" w:name="P69"/>
            <w:bookmarkEnd w:id="2"/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Передача имущественных прав, перечисленных в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пунктах 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 статьи 155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3" w:name="P72"/>
            <w:bookmarkEnd w:id="3"/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Составление (получение) счета-фактуры комиссионером (агентом) при реализации (получении) товаров (работ, услуг), имущественных прав от своего имени, в котором отражены данные в отношении собственных товаров (работ, услуг), имущественных прав, и данные в отношении товаров (работ, услуг), имущественных прав, реализуемых (приобретаемых) по договору комиссии (агентскому договору)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4" w:name="P75"/>
            <w:bookmarkEnd w:id="4"/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Получение продавцом товаров, возвращенных покупателями, не являющимися налогоплательщиками налога на добавленную стоимость, и налогоплательщиками, освобожденным от исполнения обязанностей налогоплательщика, связанных с исчислением и уплатой налога, включая случаи частичного возврата товаров указанными лицами, а также отказ от товаров (работ, услуг) в случае, предусмотренном в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абзаце втором пункта 5 статьи 171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Федерации, за исключением операций, перечисленных по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коду 17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5" w:name="P78"/>
            <w:bookmarkEnd w:id="5"/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Получение продавцом товаров, возвращенных физическими лицами, а также отказ от товаров (работ, услуг) в случае, указанном в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абзаце втором пункта 5 статьи 171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6" w:name="P81"/>
            <w:bookmarkEnd w:id="6"/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Составление или получение корректировочного счета-фактуры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Ввоз товаров на территорию Российской Федерации и иные территории, находящиеся под ее юрисдикцией, с территории государств Евразийского экономического союза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Ввоз товаров на территорию Российской Федерации и иные территории, находящиеся под ее юрисдикцией, в таможенных процедурах выпуска для внутреннего потребления, переработки для внутреннего потребления, временного ввоза и переработки вне таможенной территории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Операции по восстановлению сумм налога, указанные в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пункте 8 статьи 145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пункте 3 статьи 170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(за исключением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подпунктов 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и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 пункта 3 статьи 170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),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статье 171.1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Федерации, а также при совершении операций, облагаемых по налоговой ставке 0 процентов по налогу на добавленную стоимость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Операции по возврату авансовых платежей в случаях, перечисленных в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абзаце втором пункта 5 статьи 171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, а также операции, перечисленные в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пункте 6 статьи 172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Приобретение услуг, оформленных бланками строгой отчетности, в случаях, предусмотренных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пунктом 7 статьи 171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Регистрация счетов-фактур в книге покупок в случаях, предусмотренных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абзацем вторым пункта 9 статьи 165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и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пунктом 10 статьи 171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Регистрация счетов-фактур в книге покупок в отношении сумм налога на добавленную стоимость, ранее восстановленных при совершении операций, облагаемых по налоговой ставке 0 процентов, а также в случаях, предусмотренных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пунктом 7 статьи 172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Составление продавцом счетов-фактур, первичных учетных документов, иных документов, содержащих суммарные (сводные) данные по операциям, совершенным в течение календарного месяца (квартала) при реализации товаров (работ, услуг), имущественных прав (в том числе в случае изменения стоимости отгруженных товаров (работ, услуг, имущественных прав)) лицам, не являющимся налогоплательщиками налога на добавленную стоимость, и налогоплательщикам, освобожденным от исполнения обязанностей налогоплательщика налога на добавленную стоимость, связанных с исчислением и уплатой налога, а также при получении от указанных лиц оплаты (частичной оплаты) в счет предстоящих поставок товаров (работ, услуг), имущественных прав; регистрация указанных документов в книге покупок в случаях, предусмотренных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пунктами 6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и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10 статьи 172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Составление счета-фактуры на основании двух и более счетов-фактур при реализации и (или) приобретении товаров (работ, услуг), имущественных прав в случае, предусмотренном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пунктом 3.1 статьи 169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Федерации, а также получение указанного счета-фактуры налогоплательщиком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7" w:name="P111"/>
            <w:bookmarkEnd w:id="7"/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Составление счета-фактуры на основании двух и более счетов-фактур при получении оплаты, частичной оплаты в счет предстоящих поставок товаров (работ, услуг), имущественных прав, в случае, предусмотренном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пунктом 3.1 статьи 169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Федерации, а также получение указанного счета-фактуры налогоплательщиком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8" w:name="P114"/>
            <w:bookmarkEnd w:id="8"/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Корректировка реализации товаров (работ, услуг), передачи имущественных прав, предприятия в целом как имущественного комплекса на основании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пункта 6 статьи 105.3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 (Собрание законодательства Российской Федерации, 1998, N 31, ст. 3824; 2016, N 1, ст. 6)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Отгрузка товаров, в отношении которых при таможенном декларировании был исчислен НДС в соответствии с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абзацем первым подпункта 1.1 пункта 1 статьи 151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3"/>
            <w:tcBorders>
              <w:bottom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  <w:tcBorders>
              <w:top w:val="nil"/>
            </w:tcBorders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759" w:type="dxa"/>
            <w:tcBorders>
              <w:top w:val="nil"/>
            </w:tcBorders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Операция по уплате сумм НДС, исчисленных при таможенном декларировании товаров в случаях, предусмотренных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абзацем вторым подпункта 1.1 пункта 1 статьи 151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  <w:tcBorders>
              <w:top w:val="nil"/>
            </w:tcBorders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7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759" w:type="dxa"/>
          </w:tcPr>
          <w:p>
            <w:pPr>
              <w:pStyle w:val="4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Принятие к вычету сумм налога на добавленную стоимость, уплаченных или подлежащих уплате в случаях, предусмотренных 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пунктом 14 статьи 171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</w:tbl>
    <w:p>
      <w:pPr>
        <w:pStyle w:val="4"/>
        <w:ind w:firstLine="54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firstLine="54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000000" w:themeColor="text1"/>
          <w:sz w:val="2"/>
          <w:szCs w:val="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1D56"/>
    <w:rsid w:val="2C2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4018.00.18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Редактор</dc:creator>
  <cp:lastModifiedBy>Редактор</cp:lastModifiedBy>
  <dcterms:modified xsi:type="dcterms:W3CDTF">2018-12-12T10:33:28Z</dcterms:modified>
  <dc:title>Приказ ФНС России от 14.03.2016 N ММВ-7-3/136@
"Об утверждении перечня кодов видов операций, указываемых в книге покупок, применяемой при расчетах по налогу на добавленную стоимость, дополнительном листе к ней, книге продаж, применяемой при расчетах по налогу на добавленную стоимость, дополнительном листе к ней, а также кодов видов операций по налогу на добавленную стоимость, необходимых для ведения журнала учета полученных и выставленных счетов-фактур"
(Зарегистрировано в Минюсте России 20.04.2016 N 41876)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